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1090" w:rsidRDefault="000B1090" w:rsidP="000B1090">
      <w:pPr>
        <w:keepNext/>
        <w:pBdr>
          <w:top w:val="nil"/>
          <w:left w:val="nil"/>
          <w:bottom w:val="nil"/>
          <w:right w:val="nil"/>
          <w:between w:val="nil"/>
        </w:pBdr>
        <w:spacing w:before="360" w:after="120" w:line="360" w:lineRule="auto"/>
        <w:ind w:left="567" w:hanging="567"/>
        <w:jc w:val="center"/>
        <w:rPr>
          <w:b/>
          <w:color w:val="000000"/>
          <w:sz w:val="26"/>
          <w:szCs w:val="26"/>
        </w:rPr>
      </w:pPr>
      <w:r>
        <w:rPr>
          <w:b/>
          <w:color w:val="000000"/>
          <w:sz w:val="26"/>
          <w:szCs w:val="26"/>
        </w:rPr>
        <w:t>FINAL REPORT</w:t>
      </w:r>
    </w:p>
    <w:p w:rsidR="000B1090" w:rsidRDefault="000B1090" w:rsidP="000B1090">
      <w:pPr>
        <w:spacing w:line="360" w:lineRule="auto"/>
        <w:jc w:val="center"/>
      </w:pPr>
      <w:r>
        <w:t>DFG reference number: CRC 235</w:t>
      </w:r>
      <w:r>
        <w:br/>
        <w:t>Project number: 364653263</w:t>
      </w:r>
      <w:r>
        <w:rPr>
          <w:color w:val="808080"/>
        </w:rPr>
        <w:br/>
      </w:r>
    </w:p>
    <w:p w:rsidR="000B1090" w:rsidRDefault="000B1090" w:rsidP="000B1090">
      <w:pPr>
        <w:spacing w:line="360" w:lineRule="auto"/>
        <w:jc w:val="center"/>
      </w:pPr>
    </w:p>
    <w:p w:rsidR="000B1090" w:rsidRDefault="000B1090" w:rsidP="000B1090">
      <w:pPr>
        <w:spacing w:line="360" w:lineRule="auto"/>
        <w:jc w:val="left"/>
      </w:pPr>
    </w:p>
    <w:p w:rsidR="000B1090" w:rsidRDefault="000B1090" w:rsidP="000B1090">
      <w:pPr>
        <w:spacing w:line="360" w:lineRule="auto"/>
        <w:jc w:val="center"/>
      </w:pPr>
      <w:r>
        <w:t>Title of the Collaborative Research Centre:</w:t>
      </w:r>
    </w:p>
    <w:p w:rsidR="000B1090" w:rsidRDefault="000B1090" w:rsidP="000B1090">
      <w:pPr>
        <w:spacing w:line="360" w:lineRule="auto"/>
        <w:jc w:val="left"/>
      </w:pPr>
    </w:p>
    <w:p w:rsidR="000B1090" w:rsidRPr="00E12623" w:rsidRDefault="000B1090" w:rsidP="000B1090">
      <w:pPr>
        <w:spacing w:line="360" w:lineRule="auto"/>
        <w:jc w:val="center"/>
        <w:rPr>
          <w:b/>
          <w:sz w:val="30"/>
          <w:szCs w:val="30"/>
        </w:rPr>
      </w:pPr>
      <w:r w:rsidRPr="00E12623">
        <w:rPr>
          <w:b/>
          <w:sz w:val="30"/>
          <w:szCs w:val="30"/>
        </w:rPr>
        <w:t>Emergence of Life:</w:t>
      </w:r>
      <w:r w:rsidRPr="00E12623">
        <w:rPr>
          <w:b/>
          <w:sz w:val="30"/>
          <w:szCs w:val="30"/>
        </w:rPr>
        <w:br/>
        <w:t>exploring mechanisms with cross-disciplinary experiments</w:t>
      </w:r>
    </w:p>
    <w:p w:rsidR="000B1090" w:rsidRDefault="000B1090" w:rsidP="000B1090">
      <w:pPr>
        <w:spacing w:line="360" w:lineRule="auto"/>
        <w:jc w:val="center"/>
      </w:pPr>
      <w:r>
        <w:t xml:space="preserve">Applicant university/universities: </w:t>
      </w:r>
      <w:r>
        <w:br/>
        <w:t>Ludwig-</w:t>
      </w:r>
      <w:proofErr w:type="spellStart"/>
      <w:r>
        <w:t>Maximilians</w:t>
      </w:r>
      <w:proofErr w:type="spellEnd"/>
      <w:r>
        <w:t>-</w:t>
      </w:r>
      <w:proofErr w:type="spellStart"/>
      <w:r>
        <w:t>Universität</w:t>
      </w:r>
      <w:proofErr w:type="spellEnd"/>
      <w:r>
        <w:t xml:space="preserve"> </w:t>
      </w:r>
      <w:proofErr w:type="spellStart"/>
      <w:r>
        <w:t>München</w:t>
      </w:r>
      <w:proofErr w:type="spellEnd"/>
      <w:r>
        <w:t xml:space="preserve">, </w:t>
      </w:r>
      <w:proofErr w:type="spellStart"/>
      <w:r>
        <w:t>Technische</w:t>
      </w:r>
      <w:proofErr w:type="spellEnd"/>
      <w:r>
        <w:t xml:space="preserve"> </w:t>
      </w:r>
      <w:proofErr w:type="spellStart"/>
      <w:r>
        <w:t>Universität</w:t>
      </w:r>
      <w:proofErr w:type="spellEnd"/>
      <w:r>
        <w:t xml:space="preserve"> </w:t>
      </w:r>
      <w:proofErr w:type="spellStart"/>
      <w:r>
        <w:t>München</w:t>
      </w:r>
      <w:proofErr w:type="spellEnd"/>
    </w:p>
    <w:p w:rsidR="000B1090" w:rsidRDefault="000B1090" w:rsidP="000B1090">
      <w:pPr>
        <w:spacing w:line="360" w:lineRule="auto"/>
        <w:jc w:val="left"/>
      </w:pPr>
    </w:p>
    <w:p w:rsidR="000B1090" w:rsidRDefault="000B1090" w:rsidP="000B1090">
      <w:pPr>
        <w:spacing w:line="360" w:lineRule="auto"/>
        <w:jc w:val="center"/>
      </w:pPr>
      <w:r>
        <w:t>Name of the spokesperson:</w:t>
      </w:r>
      <w:r>
        <w:br/>
        <w:t>Prof. Dr. Dieter Braun</w:t>
      </w:r>
    </w:p>
    <w:p w:rsidR="000B1090" w:rsidRDefault="000B1090" w:rsidP="000B1090">
      <w:pPr>
        <w:spacing w:line="360" w:lineRule="auto"/>
        <w:jc w:val="left"/>
      </w:pPr>
    </w:p>
    <w:p w:rsidR="000B1090" w:rsidRDefault="000B1090" w:rsidP="000B1090">
      <w:pPr>
        <w:spacing w:line="360" w:lineRule="auto"/>
        <w:jc w:val="left"/>
      </w:pPr>
    </w:p>
    <w:p w:rsidR="000B1090" w:rsidRDefault="000B1090" w:rsidP="000B1090">
      <w:pPr>
        <w:spacing w:line="360" w:lineRule="auto"/>
        <w:jc w:val="left"/>
      </w:pPr>
    </w:p>
    <w:p w:rsidR="000B1090" w:rsidRDefault="000B1090" w:rsidP="000B1090">
      <w:pPr>
        <w:spacing w:line="360" w:lineRule="auto"/>
        <w:jc w:val="left"/>
      </w:pPr>
    </w:p>
    <w:p w:rsidR="000B1090" w:rsidRDefault="000B1090" w:rsidP="000B1090">
      <w:pPr>
        <w:spacing w:line="360" w:lineRule="auto"/>
        <w:jc w:val="left"/>
      </w:pPr>
      <w:r>
        <w:t xml:space="preserve">Official address of the spokesperson: </w:t>
      </w:r>
      <w:r>
        <w:br/>
        <w:t>Ludwig-</w:t>
      </w:r>
      <w:proofErr w:type="spellStart"/>
      <w:r>
        <w:t>Maximilians</w:t>
      </w:r>
      <w:proofErr w:type="spellEnd"/>
      <w:r>
        <w:t>-</w:t>
      </w:r>
      <w:proofErr w:type="spellStart"/>
      <w:r>
        <w:t>Universität</w:t>
      </w:r>
      <w:proofErr w:type="spellEnd"/>
      <w:r>
        <w:t xml:space="preserve"> </w:t>
      </w:r>
      <w:proofErr w:type="spellStart"/>
      <w:r>
        <w:t>München</w:t>
      </w:r>
      <w:proofErr w:type="spellEnd"/>
      <w:r>
        <w:t xml:space="preserve">, Systems Biophysics, </w:t>
      </w:r>
      <w:r>
        <w:br/>
      </w:r>
      <w:proofErr w:type="spellStart"/>
      <w:r>
        <w:t>Geschwister</w:t>
      </w:r>
      <w:proofErr w:type="spellEnd"/>
      <w:r>
        <w:t>-Scholl-</w:t>
      </w:r>
      <w:proofErr w:type="spellStart"/>
      <w:r>
        <w:t>Platz</w:t>
      </w:r>
      <w:proofErr w:type="spellEnd"/>
      <w:r>
        <w:t xml:space="preserve"> 1, D-80539 </w:t>
      </w:r>
      <w:proofErr w:type="spellStart"/>
      <w:r>
        <w:t>München</w:t>
      </w:r>
      <w:proofErr w:type="spellEnd"/>
    </w:p>
    <w:p w:rsidR="000B1090" w:rsidRDefault="000B1090" w:rsidP="000B1090">
      <w:pPr>
        <w:spacing w:line="360" w:lineRule="auto"/>
        <w:jc w:val="left"/>
      </w:pPr>
      <w:r>
        <w:t>Reporting period (entire funding period): 01.07.2018 – 30.06.2023</w:t>
      </w:r>
    </w:p>
    <w:p w:rsidR="000B1090" w:rsidRDefault="000B1090" w:rsidP="000B1090">
      <w:pPr>
        <w:spacing w:line="360" w:lineRule="auto"/>
        <w:rPr>
          <w:b/>
          <w:sz w:val="26"/>
          <w:szCs w:val="26"/>
        </w:rPr>
      </w:pPr>
      <w:r>
        <w:br w:type="page"/>
      </w:r>
    </w:p>
    <w:p w:rsidR="000B1090" w:rsidRDefault="000B1090" w:rsidP="000B1090">
      <w:pPr>
        <w:keepNext/>
        <w:pBdr>
          <w:top w:val="nil"/>
          <w:left w:val="nil"/>
          <w:bottom w:val="nil"/>
          <w:right w:val="nil"/>
          <w:between w:val="nil"/>
        </w:pBdr>
        <w:spacing w:before="360" w:after="120" w:line="360" w:lineRule="auto"/>
        <w:rPr>
          <w:b/>
          <w:color w:val="000000"/>
        </w:rPr>
      </w:pPr>
      <w:r>
        <w:rPr>
          <w:b/>
          <w:color w:val="000000"/>
        </w:rPr>
        <w:lastRenderedPageBreak/>
        <w:t xml:space="preserve">Summary </w:t>
      </w:r>
    </w:p>
    <w:p w:rsidR="000B1090" w:rsidRDefault="000B1090" w:rsidP="000B1090">
      <w:pPr>
        <w:keepNext/>
        <w:pBdr>
          <w:top w:val="nil"/>
          <w:left w:val="nil"/>
          <w:bottom w:val="nil"/>
          <w:right w:val="nil"/>
          <w:between w:val="nil"/>
        </w:pBdr>
        <w:spacing w:before="360" w:after="120" w:line="360" w:lineRule="auto"/>
        <w:rPr>
          <w:b/>
        </w:rPr>
      </w:pPr>
      <w:r>
        <w:rPr>
          <w:b/>
        </w:rPr>
        <w:t>EN</w:t>
      </w:r>
    </w:p>
    <w:p w:rsidR="000B1090" w:rsidRDefault="000B1090" w:rsidP="000B1090">
      <w:pPr>
        <w:spacing w:after="240" w:line="360" w:lineRule="auto"/>
        <w:ind w:firstLine="180"/>
      </w:pPr>
      <w:r>
        <w:t xml:space="preserve">The emergence of life has been one of the long-lasting scientific and philosophical questions for humankind. Today, life is abundant around us - plants, microbes, larger animals - but this was not the case on early Earth. What processes triggered the emergence of life? We set out with a broad set of experimental questions. What were the conditions on early Earth? Which chemicals could serve as precursors for living systems on Earth and other planets? How did the first genes develop? How could Darwinian evolution emerge? What was the first metabolism? How could life exist robustly? </w:t>
      </w:r>
    </w:p>
    <w:p w:rsidR="000B1090" w:rsidRDefault="000B1090" w:rsidP="000B1090">
      <w:pPr>
        <w:spacing w:after="240" w:line="360" w:lineRule="auto"/>
        <w:ind w:firstLine="180"/>
      </w:pPr>
      <w:r>
        <w:t xml:space="preserve">The CRC/TR 235 used bottom-up laboratory experiments combining multiple traditionally standalone disciplines - astrophysics, biochemistry, biophysics, chemistry, geosciences and theory - and expertise in studying the nanoscience of replicating molecules, the early astrochemistry, the systems chemistry of cooperative synthesis, the physics of non-equilibrium systems, the biochemistry of primitive metabolisms and the geochemistry and -physics of early Earth. </w:t>
      </w:r>
    </w:p>
    <w:p w:rsidR="000B1090" w:rsidRPr="007B5F8A" w:rsidRDefault="000B1090" w:rsidP="000B1090">
      <w:pPr>
        <w:spacing w:after="240" w:line="360" w:lineRule="auto"/>
        <w:ind w:firstLine="180"/>
      </w:pPr>
      <w:r>
        <w:t xml:space="preserve">Highly unexpected results were achieved by the collaborations. Freshly formed hydrothermal vents, solid outflow structures formed from geological fluids, were recreated in lab experiments and shown to accumulate RNA, the first molecule of life. Phosphate, a core component of RNA, could be leached and accumulated from igneous rocks with the pH gradients of a thermal gradient, a process deemed impossible before. Organocatalysts, molecules that act as catalysts as they enter and leave a reaction unchanged, were found to self-select their own polymerization, showing chemical evolution. Complex hydrothermal metabolic reactions could be followed by high-resolution mass spectrometry. The copying of RNA with </w:t>
      </w:r>
      <w:r w:rsidRPr="00307E3C">
        <w:rPr>
          <w:i/>
        </w:rPr>
        <w:t>in situ</w:t>
      </w:r>
      <w:r>
        <w:t xml:space="preserve"> activation was studied experimentally and results matched the theoretical calculations. Water at the interface to CO</w:t>
      </w:r>
      <w:r w:rsidRPr="00A3208D">
        <w:rPr>
          <w:vertAlign w:val="subscript"/>
        </w:rPr>
        <w:t>2</w:t>
      </w:r>
      <w:r>
        <w:t>, if heated, selected nucleic acids by length. This lead to a replication-selection cycle, triggering a fast sequence evolution. The same setting could assemble ribozymes from short strands of RNA, creating a role model for the assembly of the ribosome, the starting molecule of the genetic code. Patterns of amino-acid-RNA interactions, important for defining the genetic code was found by sequencing. Protocells were divided by freeze-thaw cycles, coupling replication with cell division. Coacervates, created by the same chemistry that links nucleotides in RNA, selected molecules by their local physical properties. Finally, the consortium organized an exhibition “Simple, complex, alive” at the Deutsches Museum.</w:t>
      </w:r>
    </w:p>
    <w:p w:rsidR="000B1090" w:rsidRDefault="000B1090" w:rsidP="000B1090">
      <w:pPr>
        <w:spacing w:before="240" w:after="240" w:line="360" w:lineRule="auto"/>
        <w:ind w:firstLine="180"/>
      </w:pPr>
      <w:r>
        <w:t>We pushed the cross-disciplinary boundaries of the field. We narrowed down experimental strategies to recreate the emergence of life in the lab. We now see much clearly how non-</w:t>
      </w:r>
      <w:r>
        <w:lastRenderedPageBreak/>
        <w:t>equilibrium processes on the early Earth could trigger the powerful principle of Darwinian evolution at the molecular level. The topic will be followed up by the groups of the CRC through different future funding programs and was the basis for the newly formed CRC 392 “Molecular evolution in prebiotic conditions” (molecular-evolution.de).</w:t>
      </w:r>
    </w:p>
    <w:p w:rsidR="000B1090" w:rsidRDefault="000B1090" w:rsidP="000B1090">
      <w:pPr>
        <w:pBdr>
          <w:top w:val="nil"/>
          <w:left w:val="nil"/>
          <w:bottom w:val="nil"/>
          <w:right w:val="nil"/>
          <w:between w:val="nil"/>
        </w:pBdr>
        <w:spacing w:after="0" w:line="360" w:lineRule="auto"/>
        <w:jc w:val="left"/>
        <w:rPr>
          <w:b/>
          <w:lang w:val="de-DE"/>
        </w:rPr>
      </w:pPr>
      <w:r w:rsidRPr="00735CB4">
        <w:rPr>
          <w:b/>
          <w:lang w:val="de-DE"/>
        </w:rPr>
        <w:t>DE</w:t>
      </w:r>
    </w:p>
    <w:p w:rsidR="000B1090" w:rsidRPr="006E675F" w:rsidRDefault="000B1090" w:rsidP="000B1090">
      <w:pPr>
        <w:pBdr>
          <w:top w:val="nil"/>
          <w:left w:val="nil"/>
          <w:bottom w:val="nil"/>
          <w:right w:val="nil"/>
          <w:between w:val="nil"/>
        </w:pBdr>
        <w:spacing w:after="0" w:line="360" w:lineRule="auto"/>
        <w:ind w:firstLine="180"/>
        <w:rPr>
          <w:lang w:val="de-DE"/>
        </w:rPr>
      </w:pPr>
      <w:r w:rsidRPr="006E675F">
        <w:rPr>
          <w:lang w:val="de-DE"/>
        </w:rPr>
        <w:t xml:space="preserve">Der Ursprung des Lebens ist eine der ältesten wissenschaftlichen und philosophischen Fragen der Menschheit. Heute gibt es Leben im Überfluss - aber das war auf der frühen Erde nicht der Fall. Welche Prozesse haben das Leben hervorgebracht? Welche Bedingungen herrschten auf der frühen Erde? Welche Substanzen können als Vorläufer für lebende Systeme auf der Erde und anderen Planeten dienen? Wie entstanden die ersten Gene? Wie konnte sich die </w:t>
      </w:r>
      <w:r>
        <w:rPr>
          <w:lang w:val="de-DE"/>
        </w:rPr>
        <w:t>d</w:t>
      </w:r>
      <w:r w:rsidRPr="006E675F">
        <w:rPr>
          <w:lang w:val="de-DE"/>
        </w:rPr>
        <w:t xml:space="preserve">arwinsche Evolution entwickeln? Wie sah der erste Stoffwechsel aus? </w:t>
      </w:r>
    </w:p>
    <w:p w:rsidR="000B1090" w:rsidRPr="006E675F" w:rsidRDefault="000B1090" w:rsidP="000B1090">
      <w:pPr>
        <w:pBdr>
          <w:top w:val="nil"/>
          <w:left w:val="nil"/>
          <w:bottom w:val="nil"/>
          <w:right w:val="nil"/>
          <w:between w:val="nil"/>
        </w:pBdr>
        <w:spacing w:after="0" w:line="360" w:lineRule="auto"/>
        <w:ind w:firstLine="180"/>
        <w:rPr>
          <w:lang w:val="de-DE"/>
        </w:rPr>
      </w:pPr>
      <w:r w:rsidRPr="006E675F">
        <w:rPr>
          <w:lang w:val="de-DE"/>
        </w:rPr>
        <w:t>D</w:t>
      </w:r>
      <w:r>
        <w:rPr>
          <w:lang w:val="de-DE"/>
        </w:rPr>
        <w:t>er</w:t>
      </w:r>
      <w:r w:rsidRPr="006E675F">
        <w:rPr>
          <w:lang w:val="de-DE"/>
        </w:rPr>
        <w:t xml:space="preserve"> CRC/TR</w:t>
      </w:r>
      <w:r>
        <w:rPr>
          <w:lang w:val="de-DE"/>
        </w:rPr>
        <w:t>R</w:t>
      </w:r>
      <w:r w:rsidRPr="006E675F">
        <w:rPr>
          <w:lang w:val="de-DE"/>
        </w:rPr>
        <w:t xml:space="preserve"> 235 nutzte </w:t>
      </w:r>
      <w:proofErr w:type="spellStart"/>
      <w:r w:rsidRPr="006E675F">
        <w:rPr>
          <w:lang w:val="de-DE"/>
        </w:rPr>
        <w:t>Bottom-up-Laborexperimente</w:t>
      </w:r>
      <w:proofErr w:type="spellEnd"/>
      <w:r w:rsidRPr="006E675F">
        <w:rPr>
          <w:lang w:val="de-DE"/>
        </w:rPr>
        <w:t>, die traditionell getrennte Disziplinen - Astrophysik, Biochemie, Biophysik, Chemie, Geowissenschaften und -theorie - miteinander verbanden</w:t>
      </w:r>
      <w:r>
        <w:rPr>
          <w:lang w:val="de-DE"/>
        </w:rPr>
        <w:t xml:space="preserve">. </w:t>
      </w:r>
      <w:r w:rsidRPr="006E675F">
        <w:rPr>
          <w:lang w:val="de-DE"/>
        </w:rPr>
        <w:t>Diese Zusammenarbeit führte zu unerwarteten Ergebnissen. Frisch gebildete hydrothermale Schlote, feste Ausflussstrukturen aus geologischen Fluiden, wurden in Laborexperimenten nachgebildet u</w:t>
      </w:r>
      <w:r w:rsidR="008F25F3">
        <w:rPr>
          <w:lang w:val="de-DE"/>
        </w:rPr>
        <w:t>nd es konnte gezeigt werden, dass</w:t>
      </w:r>
      <w:r w:rsidRPr="006E675F">
        <w:rPr>
          <w:lang w:val="de-DE"/>
        </w:rPr>
        <w:t xml:space="preserve"> sie RNA, das erste Molekül des Lebens</w:t>
      </w:r>
      <w:r>
        <w:rPr>
          <w:lang w:val="de-DE"/>
        </w:rPr>
        <w:t>, anreichern</w:t>
      </w:r>
      <w:r w:rsidRPr="006E675F">
        <w:rPr>
          <w:lang w:val="de-DE"/>
        </w:rPr>
        <w:t xml:space="preserve">. Phosphat, ein wesentlicher Bestandteil der RNA, konnte aus eruptiven Gesteinen unter dem pH-Gradienten eines thermischen Gradienten ausgelaugt und angereichert werden, </w:t>
      </w:r>
      <w:r>
        <w:rPr>
          <w:lang w:val="de-DE"/>
        </w:rPr>
        <w:t xml:space="preserve">was </w:t>
      </w:r>
      <w:r w:rsidRPr="006E675F">
        <w:rPr>
          <w:lang w:val="de-DE"/>
        </w:rPr>
        <w:t xml:space="preserve">zuvor als unmöglich galt. Es wurde festgestellt, dass </w:t>
      </w:r>
      <w:proofErr w:type="spellStart"/>
      <w:r w:rsidRPr="006E675F">
        <w:rPr>
          <w:lang w:val="de-DE"/>
        </w:rPr>
        <w:t>Organokatalysatoren</w:t>
      </w:r>
      <w:proofErr w:type="spellEnd"/>
      <w:r w:rsidRPr="006E675F">
        <w:rPr>
          <w:lang w:val="de-DE"/>
        </w:rPr>
        <w:t xml:space="preserve">, d.h. </w:t>
      </w:r>
      <w:r>
        <w:rPr>
          <w:lang w:val="de-DE"/>
        </w:rPr>
        <w:t xml:space="preserve">organische </w:t>
      </w:r>
      <w:r w:rsidRPr="006E675F">
        <w:rPr>
          <w:lang w:val="de-DE"/>
        </w:rPr>
        <w:t>Moleküle, die als Katalysatoren wirken, ihre eigene Polymerisation selbst steuern</w:t>
      </w:r>
      <w:r>
        <w:rPr>
          <w:lang w:val="de-DE"/>
        </w:rPr>
        <w:t xml:space="preserve"> und damit chemisch evolvieren</w:t>
      </w:r>
      <w:r w:rsidRPr="006E675F">
        <w:rPr>
          <w:lang w:val="de-DE"/>
        </w:rPr>
        <w:t xml:space="preserve">. Komplexe hydrothermale Stoffwechselreaktionen konnten mit hochauflösender </w:t>
      </w:r>
      <w:proofErr w:type="spellStart"/>
      <w:r w:rsidRPr="006E675F">
        <w:rPr>
          <w:lang w:val="de-DE"/>
        </w:rPr>
        <w:t>Massenspektrometrie</w:t>
      </w:r>
      <w:proofErr w:type="spellEnd"/>
      <w:r w:rsidRPr="006E675F">
        <w:rPr>
          <w:lang w:val="de-DE"/>
        </w:rPr>
        <w:t xml:space="preserve"> verfolgt werden. Das Kopieren </w:t>
      </w:r>
      <w:r>
        <w:rPr>
          <w:lang w:val="de-DE"/>
        </w:rPr>
        <w:t>von</w:t>
      </w:r>
      <w:r w:rsidRPr="006E675F">
        <w:rPr>
          <w:lang w:val="de-DE"/>
        </w:rPr>
        <w:t xml:space="preserve"> RNA mit in situ-Aktivierung wurde experimentell untersucht und mit der Theorie in Einklang gebracht. Erhitztes Wasser an der Grenzfläche zu CO</w:t>
      </w:r>
      <w:r w:rsidRPr="00D762AF">
        <w:rPr>
          <w:vertAlign w:val="subscript"/>
          <w:lang w:val="de-DE"/>
        </w:rPr>
        <w:t>2</w:t>
      </w:r>
      <w:r w:rsidRPr="006E675F">
        <w:rPr>
          <w:lang w:val="de-DE"/>
        </w:rPr>
        <w:t xml:space="preserve"> selektierte Nukleinsäuren nach ihrer Länge. Dies führte zu einem Replikations-Selektionszyklus, der eine schnelle Sequenzevolution auslöste. Es konnte gezeigt werden, da</w:t>
      </w:r>
      <w:r w:rsidR="00DE780D">
        <w:rPr>
          <w:lang w:val="de-DE"/>
        </w:rPr>
        <w:t>ss</w:t>
      </w:r>
      <w:bookmarkStart w:id="0" w:name="_GoBack"/>
      <w:bookmarkEnd w:id="0"/>
      <w:r w:rsidRPr="006E675F">
        <w:rPr>
          <w:lang w:val="de-DE"/>
        </w:rPr>
        <w:t xml:space="preserve"> sich </w:t>
      </w:r>
      <w:proofErr w:type="spellStart"/>
      <w:r w:rsidRPr="006E675F">
        <w:rPr>
          <w:lang w:val="de-DE"/>
        </w:rPr>
        <w:t>Ribozyme</w:t>
      </w:r>
      <w:proofErr w:type="spellEnd"/>
      <w:r w:rsidRPr="006E675F">
        <w:rPr>
          <w:lang w:val="de-DE"/>
        </w:rPr>
        <w:t xml:space="preserve"> in der gleichen Umgebung aus kurzen RNA-Strängen zusammensetzen, ein Modell für die Struktur des Ribosoms, des Ausgangsmoleküls des genetischen Codes. Aminosäure-RNA-Wechselwirkungen, die für die Definition des genetischen Codes wichtig sind, wurden durch Sequenzierung gefunden. Protozellen wurden durch Einfrier- und Auftauzyklen geteilt, wodurch die Replikation mit der Zellteilung gekoppelt wurde. </w:t>
      </w:r>
      <w:proofErr w:type="spellStart"/>
      <w:r w:rsidRPr="006E675F">
        <w:rPr>
          <w:lang w:val="de-DE"/>
        </w:rPr>
        <w:t>Koazervate</w:t>
      </w:r>
      <w:proofErr w:type="spellEnd"/>
      <w:r w:rsidRPr="006E675F">
        <w:rPr>
          <w:lang w:val="de-DE"/>
        </w:rPr>
        <w:t>, die durch die gleiche chemische Reaktion erzeugt werden,</w:t>
      </w:r>
      <w:r>
        <w:rPr>
          <w:lang w:val="de-DE"/>
        </w:rPr>
        <w:t xml:space="preserve"> welche Nukleotide zu RNA verbinden</w:t>
      </w:r>
      <w:r w:rsidRPr="006E675F">
        <w:rPr>
          <w:lang w:val="de-DE"/>
        </w:rPr>
        <w:t xml:space="preserve">, konnten Moleküle anhand ihrer lokalen physikalischen Eigenschaften </w:t>
      </w:r>
      <w:r>
        <w:rPr>
          <w:lang w:val="de-DE"/>
        </w:rPr>
        <w:t>selektieren</w:t>
      </w:r>
      <w:r w:rsidRPr="006E675F">
        <w:rPr>
          <w:lang w:val="de-DE"/>
        </w:rPr>
        <w:t>. Schließlich organisierte das Konsortium gemeinsam mit dem Deutschen Museum die Ausstellung "Einfach, komplex, lebendig".</w:t>
      </w:r>
    </w:p>
    <w:p w:rsidR="000B1090" w:rsidRDefault="000B1090" w:rsidP="000B1090">
      <w:pPr>
        <w:pBdr>
          <w:top w:val="nil"/>
          <w:left w:val="nil"/>
          <w:bottom w:val="nil"/>
          <w:right w:val="nil"/>
          <w:between w:val="nil"/>
        </w:pBdr>
        <w:spacing w:after="0" w:line="360" w:lineRule="auto"/>
        <w:ind w:firstLine="180"/>
        <w:rPr>
          <w:lang w:val="de-DE"/>
        </w:rPr>
      </w:pPr>
      <w:r w:rsidRPr="006E675F">
        <w:rPr>
          <w:lang w:val="de-DE"/>
        </w:rPr>
        <w:t xml:space="preserve">Wir haben die interdisziplinären Grenzen des </w:t>
      </w:r>
      <w:r>
        <w:rPr>
          <w:lang w:val="de-DE"/>
        </w:rPr>
        <w:t>Gebietes</w:t>
      </w:r>
      <w:r w:rsidRPr="006E675F">
        <w:rPr>
          <w:lang w:val="de-DE"/>
        </w:rPr>
        <w:t xml:space="preserve"> </w:t>
      </w:r>
      <w:r>
        <w:rPr>
          <w:lang w:val="de-DE"/>
        </w:rPr>
        <w:t xml:space="preserve">stark </w:t>
      </w:r>
      <w:r w:rsidRPr="006E675F">
        <w:rPr>
          <w:lang w:val="de-DE"/>
        </w:rPr>
        <w:t xml:space="preserve">erweitert. Wir haben experimentelle Strategien entwickelt, um die Entstehung des Lebens im Labor </w:t>
      </w:r>
      <w:r w:rsidRPr="006E675F">
        <w:rPr>
          <w:lang w:val="de-DE"/>
        </w:rPr>
        <w:lastRenderedPageBreak/>
        <w:t xml:space="preserve">nachzuvollziehen. Wir sehen jetzt viel klarer, wie Nicht-Gleichgewichtsprozesse auf der frühen Erde das mächtige Prinzip der Darwinschen Evolution auf molekularer Ebene ausgelöst haben könnten. </w:t>
      </w:r>
      <w:r w:rsidRPr="004622A3">
        <w:rPr>
          <w:lang w:val="de-DE"/>
        </w:rPr>
        <w:t>Das Thema wird von den Gruppen des CRC im Rahmen verschiedener zukünftiger Förderprogramme weiterverfolgt und war die Grundlage für das neu gegründete CRC 392 „Molekulare Evolution unter präbiotischen Bedingungen“ (molecular-evolution.de).</w:t>
      </w:r>
    </w:p>
    <w:p w:rsidR="00976B2B" w:rsidRPr="000B1090" w:rsidRDefault="00976B2B">
      <w:pPr>
        <w:rPr>
          <w:lang w:val="de-DE"/>
        </w:rPr>
      </w:pPr>
    </w:p>
    <w:sectPr w:rsidR="00976B2B" w:rsidRPr="000B1090">
      <w:pgSz w:w="11906" w:h="16838"/>
      <w:pgMar w:top="1417" w:right="1417" w:bottom="1134" w:left="1417"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66127"/>
    <w:multiLevelType w:val="multilevel"/>
    <w:tmpl w:val="C37E55BE"/>
    <w:lvl w:ilvl="0">
      <w:start w:val="1"/>
      <w:numFmt w:val="upperRoman"/>
      <w:lvlText w:val="%1"/>
      <w:lvlJc w:val="left"/>
      <w:pPr>
        <w:ind w:left="567" w:hanging="567"/>
      </w:pPr>
      <w:rPr>
        <w:rFonts w:ascii="Arial" w:eastAsia="Arial" w:hAnsi="Arial" w:cs="Arial"/>
        <w:b/>
        <w:i w:val="0"/>
        <w:sz w:val="26"/>
        <w:szCs w:val="26"/>
      </w:rPr>
    </w:lvl>
    <w:lvl w:ilvl="1">
      <w:start w:val="1"/>
      <w:numFmt w:val="decimal"/>
      <w:lvlText w:val="%2"/>
      <w:lvlJc w:val="left"/>
      <w:pPr>
        <w:ind w:left="567" w:hanging="567"/>
      </w:pPr>
      <w:rPr>
        <w:rFonts w:ascii="Arial" w:eastAsia="Arial" w:hAnsi="Arial" w:cs="Arial"/>
        <w:b/>
        <w:i w:val="0"/>
        <w:sz w:val="22"/>
        <w:szCs w:val="22"/>
      </w:rPr>
    </w:lvl>
    <w:lvl w:ilvl="2">
      <w:start w:val="1"/>
      <w:numFmt w:val="decimal"/>
      <w:lvlText w:val="%2.%3"/>
      <w:lvlJc w:val="left"/>
      <w:pPr>
        <w:ind w:left="567" w:hanging="567"/>
      </w:pPr>
      <w:rPr>
        <w:rFonts w:ascii="Arial" w:eastAsia="Arial" w:hAnsi="Arial" w:cs="Arial"/>
        <w:sz w:val="22"/>
        <w:szCs w:val="22"/>
      </w:rPr>
    </w:lvl>
    <w:lvl w:ilvl="3">
      <w:start w:val="1"/>
      <w:numFmt w:val="decimal"/>
      <w:lvlText w:val="%2.%3.%4"/>
      <w:lvlJc w:val="left"/>
      <w:pPr>
        <w:ind w:left="567" w:hanging="567"/>
      </w:pPr>
    </w:lvl>
    <w:lvl w:ilvl="4">
      <w:start w:val="1"/>
      <w:numFmt w:val="decimal"/>
      <w:lvlText w:val="%2.%3.%4.%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1090"/>
    <w:rsid w:val="000B1090"/>
    <w:rsid w:val="00833D20"/>
    <w:rsid w:val="008F25F3"/>
    <w:rsid w:val="00976B2B"/>
    <w:rsid w:val="00CF0178"/>
    <w:rsid w:val="00DE780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AACAA"/>
  <w15:chartTrackingRefBased/>
  <w15:docId w15:val="{A3B8D7AE-F037-4F6E-A717-5A324D2EE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0B1090"/>
    <w:pPr>
      <w:spacing w:after="200" w:line="276" w:lineRule="auto"/>
      <w:jc w:val="both"/>
    </w:pPr>
    <w:rPr>
      <w:rFonts w:ascii="Arial" w:eastAsia="Arial" w:hAnsi="Arial" w:cs="Arial"/>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1017</Words>
  <Characters>5800</Characters>
  <Application>Microsoft Office Word</Application>
  <DocSecurity>0</DocSecurity>
  <Lines>48</Lines>
  <Paragraphs>13</Paragraphs>
  <ScaleCrop>false</ScaleCrop>
  <Company/>
  <LinksUpToDate>false</LinksUpToDate>
  <CharactersWithSpaces>6804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Dieter Braun</dc:creator>
  <cp:keywords/>
  <dc:description/>
  <cp:lastModifiedBy>labuser</cp:lastModifiedBy>
  <cp:revision>3</cp:revision>
  <dcterms:created xsi:type="dcterms:W3CDTF">2024-10-05T08:33:00Z</dcterms:created>
  <dcterms:modified xsi:type="dcterms:W3CDTF">2024-11-06T12:58:00Z</dcterms:modified>
</cp:coreProperties>
</file>